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2007D" w14:textId="076435A8" w:rsidR="00E90499" w:rsidRPr="00BC6E99" w:rsidRDefault="00302EC3" w:rsidP="00302EC3">
      <w:pPr>
        <w:spacing w:after="120" w:line="360" w:lineRule="auto"/>
        <w:ind w:left="567" w:right="2262"/>
        <w:rPr>
          <w:rFonts w:ascii="Arial" w:hAnsi="Arial" w:cs="Arial"/>
          <w:b/>
          <w:sz w:val="28"/>
          <w:szCs w:val="28"/>
        </w:rPr>
      </w:pPr>
      <w:r>
        <w:rPr>
          <w:rFonts w:ascii="Arial" w:hAnsi="Arial"/>
          <w:b/>
          <w:sz w:val="28"/>
        </w:rPr>
        <w:t xml:space="preserve">AMAZONE Cenius mounted cultivator now with hydraulic overload protection </w:t>
      </w:r>
    </w:p>
    <w:p w14:paraId="448021A6" w14:textId="0F1FA5E1" w:rsidR="00E33D18" w:rsidRPr="00BC6E99" w:rsidRDefault="00E90499" w:rsidP="00E33D18">
      <w:pPr>
        <w:spacing w:after="120" w:line="360" w:lineRule="auto"/>
        <w:ind w:left="567" w:right="1695"/>
        <w:rPr>
          <w:rFonts w:ascii="Arial" w:hAnsi="Arial" w:cs="Arial"/>
          <w:b/>
        </w:rPr>
      </w:pPr>
      <w:r>
        <w:rPr>
          <w:rFonts w:ascii="Arial" w:hAnsi="Arial"/>
          <w:b/>
        </w:rPr>
        <w:t xml:space="preserve">High level of operational reliability with C-Mix Ultra tines </w:t>
      </w:r>
    </w:p>
    <w:p w14:paraId="1CBE4FD0" w14:textId="1ABF6121" w:rsidR="004A4E71" w:rsidRDefault="004A4E71" w:rsidP="00921FE3">
      <w:pPr>
        <w:spacing w:after="120" w:line="360" w:lineRule="auto"/>
        <w:ind w:left="567" w:right="1695"/>
        <w:rPr>
          <w:rFonts w:ascii="Arial" w:eastAsia="Arial" w:hAnsi="Arial" w:cs="Arial"/>
        </w:rPr>
      </w:pPr>
    </w:p>
    <w:p w14:paraId="086E5E96" w14:textId="5907BACD" w:rsidR="00E90499" w:rsidRDefault="00E90499" w:rsidP="00E90499">
      <w:pPr>
        <w:spacing w:after="120" w:line="360" w:lineRule="auto"/>
        <w:ind w:left="567" w:right="2262"/>
        <w:rPr>
          <w:rFonts w:ascii="Arial" w:hAnsi="Arial" w:cs="Arial"/>
          <w:bCs/>
        </w:rPr>
      </w:pPr>
      <w:r>
        <w:rPr>
          <w:rFonts w:ascii="Arial" w:hAnsi="Arial"/>
        </w:rPr>
        <w:t>The Cenius Ultra from AMAZONE is a new model to the mounted cultivator range and comes in working widths of 3.00 m and 3.50 m. The outstanding feature is the C-Mix Ultra tine with its automatic overload protection via a hydraulic cylinder. This robust tine system offers a high level of reliability and durability, especially under intensive operating conditions.</w:t>
      </w:r>
    </w:p>
    <w:p w14:paraId="0302E161" w14:textId="77777777" w:rsidR="00023031" w:rsidRDefault="00023031" w:rsidP="00E90499">
      <w:pPr>
        <w:spacing w:after="120" w:line="360" w:lineRule="auto"/>
        <w:ind w:left="567" w:right="2262"/>
        <w:rPr>
          <w:rFonts w:ascii="Arial" w:hAnsi="Arial" w:cs="Arial"/>
          <w:bCs/>
        </w:rPr>
      </w:pPr>
    </w:p>
    <w:p w14:paraId="09780EF9" w14:textId="31FF30D3" w:rsidR="00A97579" w:rsidRPr="00023031" w:rsidRDefault="00023031" w:rsidP="00E90499">
      <w:pPr>
        <w:spacing w:after="120" w:line="360" w:lineRule="auto"/>
        <w:ind w:left="567" w:right="2262"/>
        <w:rPr>
          <w:rFonts w:ascii="Arial" w:hAnsi="Arial" w:cs="Arial"/>
          <w:b/>
        </w:rPr>
      </w:pPr>
      <w:r>
        <w:rPr>
          <w:rFonts w:ascii="Arial" w:hAnsi="Arial"/>
          <w:b/>
        </w:rPr>
        <w:t>Flexibility on any soil</w:t>
      </w:r>
    </w:p>
    <w:p w14:paraId="57399142" w14:textId="03699121" w:rsidR="00067545" w:rsidRDefault="00A97579" w:rsidP="00E90499">
      <w:pPr>
        <w:spacing w:after="120" w:line="360" w:lineRule="auto"/>
        <w:ind w:left="567" w:right="2262"/>
        <w:rPr>
          <w:rFonts w:ascii="Arial" w:hAnsi="Arial" w:cs="Arial"/>
          <w:bCs/>
        </w:rPr>
      </w:pPr>
      <w:r>
        <w:rPr>
          <w:rFonts w:ascii="Arial" w:hAnsi="Arial"/>
        </w:rPr>
        <w:t>The C-Mix Ultra tines really come into their own in variable soil conditions. The release force can be infinitely adjusted between 500</w:t>
      </w:r>
      <w:r>
        <w:rPr>
          <w:rFonts w:ascii="Arial" w:hAnsi="Arial"/>
          <w:color w:val="FF0000"/>
        </w:rPr>
        <w:t xml:space="preserve"> </w:t>
      </w:r>
      <w:r>
        <w:rPr>
          <w:rFonts w:ascii="Arial" w:hAnsi="Arial"/>
        </w:rPr>
        <w:t xml:space="preserve">kg and 800 kg to ensure optimum adaptation to differing soil types. </w:t>
      </w:r>
    </w:p>
    <w:p w14:paraId="3DCAFF56" w14:textId="678CBE17" w:rsidR="00C97651" w:rsidRDefault="00067545" w:rsidP="00E90499">
      <w:pPr>
        <w:spacing w:after="120" w:line="360" w:lineRule="auto"/>
        <w:ind w:left="567" w:right="2262"/>
        <w:rPr>
          <w:rFonts w:ascii="Arial" w:hAnsi="Arial" w:cs="Arial"/>
          <w:bCs/>
        </w:rPr>
      </w:pPr>
      <w:r>
        <w:rPr>
          <w:rFonts w:ascii="Arial" w:hAnsi="Arial"/>
        </w:rPr>
        <w:t xml:space="preserve">The tines can move upwards more quickly on light soils with large stones at the lower release force setting of 500 kg. This protects the frame of the mounted cultivator from excessive loads and any stones remain under the surface. Where there is compaction, or on heavy clay soils, the pressure can be increased up to 800 kg. This ensures a consistent, reliable loosening of the soil. </w:t>
      </w:r>
    </w:p>
    <w:p w14:paraId="5AC4F99F" w14:textId="77777777" w:rsidR="00023031" w:rsidRDefault="00023031" w:rsidP="00E90499">
      <w:pPr>
        <w:spacing w:after="120" w:line="360" w:lineRule="auto"/>
        <w:ind w:left="567" w:right="2262"/>
        <w:rPr>
          <w:rFonts w:ascii="Arial" w:hAnsi="Arial" w:cs="Arial"/>
          <w:bCs/>
        </w:rPr>
      </w:pPr>
    </w:p>
    <w:p w14:paraId="33B8095F" w14:textId="00B24A21" w:rsidR="00A55005" w:rsidRDefault="00004816" w:rsidP="00E90499">
      <w:pPr>
        <w:spacing w:after="120" w:line="360" w:lineRule="auto"/>
        <w:ind w:left="567" w:right="2262"/>
        <w:rPr>
          <w:rFonts w:ascii="Arial" w:hAnsi="Arial" w:cs="Arial"/>
          <w:bCs/>
        </w:rPr>
      </w:pPr>
      <w:r>
        <w:rPr>
          <w:rFonts w:ascii="Arial" w:hAnsi="Arial"/>
          <w:b/>
          <w:bCs/>
        </w:rPr>
        <w:t>Operational reliability under the toughest conditions</w:t>
      </w:r>
      <w:r>
        <w:rPr>
          <w:rFonts w:ascii="Arial" w:hAnsi="Arial"/>
        </w:rPr>
        <w:br/>
        <w:t>The high lift heights of the individual tines mean that the machine maintains the desired optimum working depth of up to 35 cm, even under the toughest of conditions. The C-Mix Ultra tines offer a high level of operational reliability and effectively protect the mounted cultivator while ensuring optimum soil movement.</w:t>
      </w:r>
    </w:p>
    <w:p w14:paraId="29CE611D" w14:textId="03AA0897" w:rsidR="00D83923" w:rsidRDefault="00D83923" w:rsidP="00E90499">
      <w:pPr>
        <w:spacing w:after="120" w:line="360" w:lineRule="auto"/>
        <w:ind w:left="567" w:right="2262"/>
        <w:rPr>
          <w:rFonts w:ascii="Arial" w:hAnsi="Arial" w:cs="Arial"/>
          <w:bCs/>
        </w:rPr>
      </w:pPr>
      <w:r>
        <w:rPr>
          <w:rFonts w:ascii="Arial" w:hAnsi="Arial"/>
        </w:rPr>
        <w:lastRenderedPageBreak/>
        <w:t>Stepless adjustment of the system is easily and conveniently carried out from the front on the headstock. The pressure gauge is also located there and is easily visible from the tractor cab for convenient monitoring.</w:t>
      </w:r>
    </w:p>
    <w:p w14:paraId="0D2F5791" w14:textId="477236B8" w:rsidR="00E90499" w:rsidRDefault="00E90499" w:rsidP="00E90499">
      <w:pPr>
        <w:spacing w:after="120" w:line="360" w:lineRule="auto"/>
        <w:ind w:left="567" w:right="2262"/>
        <w:rPr>
          <w:rFonts w:ascii="Arial" w:hAnsi="Arial" w:cs="Arial"/>
          <w:bCs/>
        </w:rPr>
      </w:pPr>
      <w:r>
        <w:rPr>
          <w:rFonts w:ascii="Arial" w:hAnsi="Arial"/>
        </w:rPr>
        <w:t xml:space="preserve">In addition, the Ultra overload protection system protects the cultivator in a unique way: The system consists of individual hydraulic cylinders fitted to the tines along with central hydraulic accumulators and this provides a highly damped resetting of the C-Mix Ultra tine to the neutral position after triggering. This feature significantly reduces any wear and tear on the overload protection system, even if it is triggered frequently. </w:t>
      </w:r>
    </w:p>
    <w:p w14:paraId="6064E255" w14:textId="77777777" w:rsidR="00023031" w:rsidRDefault="00023031" w:rsidP="00E90499">
      <w:pPr>
        <w:spacing w:after="120" w:line="360" w:lineRule="auto"/>
        <w:ind w:left="567" w:right="2262"/>
        <w:rPr>
          <w:rFonts w:ascii="Arial" w:hAnsi="Arial" w:cs="Arial"/>
          <w:bCs/>
        </w:rPr>
      </w:pPr>
    </w:p>
    <w:p w14:paraId="4C08A166" w14:textId="19DD5FA5" w:rsidR="007639FE" w:rsidRDefault="00E90499" w:rsidP="00E90499">
      <w:pPr>
        <w:spacing w:after="120" w:line="360" w:lineRule="auto"/>
        <w:ind w:left="567" w:right="1695"/>
        <w:rPr>
          <w:rFonts w:ascii="Arial" w:hAnsi="Arial" w:cs="Arial"/>
          <w:bCs/>
        </w:rPr>
      </w:pPr>
      <w:r>
        <w:rPr>
          <w:rFonts w:ascii="Arial" w:hAnsi="Arial"/>
        </w:rPr>
        <w:t>The new C-Mix Ultra tine can be combined with the wide C-Mix share system. The range of points on offer means there is the right share type for every application, from standard shares to hard-wearing HD shares.</w:t>
      </w:r>
    </w:p>
    <w:p w14:paraId="700C6714" w14:textId="66BEAC28" w:rsidR="00E90499" w:rsidRDefault="00E90499" w:rsidP="00004816">
      <w:pPr>
        <w:spacing w:after="120" w:line="360" w:lineRule="auto"/>
        <w:ind w:left="567" w:right="1553"/>
        <w:jc w:val="center"/>
        <w:rPr>
          <w:rFonts w:ascii="Arial" w:hAnsi="Arial" w:cs="Arial"/>
          <w:bCs/>
        </w:rPr>
      </w:pPr>
      <w:r>
        <w:rPr>
          <w:rFonts w:ascii="Arial" w:hAnsi="Arial"/>
          <w:noProof/>
        </w:rPr>
        <w:drawing>
          <wp:inline distT="0" distB="0" distL="0" distR="0" wp14:anchorId="39DD0B6F" wp14:editId="4A92E40F">
            <wp:extent cx="2484000" cy="3263763"/>
            <wp:effectExtent l="0" t="0" r="0" b="0"/>
            <wp:docPr id="897080101" name="Grafik 1" descr="Ein Bild, das Werkzeug enthält.&#10;&#10;Automatisch generierte Beschreibung mit mittlerer Zuverlässigk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080101" name="Grafik 1" descr="Ein Bild, das Werkzeug enthält.&#10;&#10;Automatisch generierte Beschreibung mit mittlerer Zuverlässigkeit"/>
                    <pic:cNvPicPr>
                      <a:picLocks noChangeAspect="1" noChangeArrowheads="1"/>
                    </pic:cNvPicPr>
                  </pic:nvPicPr>
                  <pic:blipFill rotWithShape="1">
                    <a:blip r:embed="rId8">
                      <a:extLst>
                        <a:ext uri="{28A0092B-C50C-407E-A947-70E740481C1C}">
                          <a14:useLocalDpi xmlns:a14="http://schemas.microsoft.com/office/drawing/2010/main" val="0"/>
                        </a:ext>
                      </a:extLst>
                    </a:blip>
                    <a:srcRect l="15587" t="1979" r="11958" b="2670"/>
                    <a:stretch/>
                  </pic:blipFill>
                  <pic:spPr bwMode="auto">
                    <a:xfrm>
                      <a:off x="0" y="0"/>
                      <a:ext cx="2484000" cy="3263763"/>
                    </a:xfrm>
                    <a:prstGeom prst="rect">
                      <a:avLst/>
                    </a:prstGeom>
                    <a:noFill/>
                    <a:ln>
                      <a:noFill/>
                    </a:ln>
                    <a:extLst>
                      <a:ext uri="{53640926-AAD7-44D8-BBD7-CCE9431645EC}">
                        <a14:shadowObscured xmlns:a14="http://schemas.microsoft.com/office/drawing/2010/main"/>
                      </a:ext>
                    </a:extLst>
                  </pic:spPr>
                </pic:pic>
              </a:graphicData>
            </a:graphic>
          </wp:inline>
        </w:drawing>
      </w:r>
    </w:p>
    <w:p w14:paraId="32DC9246" w14:textId="01AAE7E9" w:rsidR="00FC5EA8" w:rsidRPr="00C97651" w:rsidRDefault="00FC5EA8" w:rsidP="00FC5EA8">
      <w:pPr>
        <w:spacing w:after="120" w:line="360" w:lineRule="auto"/>
        <w:ind w:left="567" w:right="2262"/>
        <w:rPr>
          <w:rFonts w:ascii="Arial" w:hAnsi="Arial" w:cs="Arial"/>
          <w:bCs/>
          <w:sz w:val="22"/>
          <w:szCs w:val="22"/>
        </w:rPr>
      </w:pPr>
      <w:r>
        <w:rPr>
          <w:rFonts w:ascii="Arial" w:hAnsi="Arial"/>
          <w:sz w:val="22"/>
        </w:rPr>
        <w:t>The strengths of the C-Mix Ultra tine become apparent in challenging soil conditions where the tine protection system is being regularly triggered.</w:t>
      </w:r>
    </w:p>
    <w:p w14:paraId="1D460C8D" w14:textId="4E62176E" w:rsidR="00CF1A32" w:rsidRDefault="00E90499" w:rsidP="00CF1A32">
      <w:pPr>
        <w:spacing w:after="120" w:line="360" w:lineRule="auto"/>
        <w:ind w:left="567" w:right="986"/>
        <w:rPr>
          <w:rFonts w:ascii="Arial" w:hAnsi="Arial" w:cs="Arial"/>
          <w:bCs/>
          <w:color w:val="FF0000"/>
          <w:sz w:val="22"/>
          <w:szCs w:val="22"/>
        </w:rPr>
      </w:pPr>
      <w:r>
        <w:rPr>
          <w:rFonts w:ascii="Arial" w:hAnsi="Arial"/>
          <w:color w:val="FF0000"/>
          <w:sz w:val="22"/>
        </w:rPr>
        <w:t xml:space="preserve"> </w:t>
      </w:r>
    </w:p>
    <w:p w14:paraId="3A4F950B" w14:textId="77777777" w:rsidR="00CF1A32" w:rsidRDefault="00CF1A32" w:rsidP="00E90499">
      <w:pPr>
        <w:spacing w:after="120" w:line="360" w:lineRule="auto"/>
        <w:ind w:left="567" w:right="2262"/>
        <w:rPr>
          <w:rFonts w:ascii="Arial" w:hAnsi="Arial" w:cs="Arial"/>
          <w:bCs/>
          <w:color w:val="FF0000"/>
          <w:sz w:val="22"/>
          <w:szCs w:val="22"/>
        </w:rPr>
      </w:pPr>
    </w:p>
    <w:p w14:paraId="6977B4B0" w14:textId="178B5046" w:rsidR="00E90499" w:rsidRDefault="00AC2D2D" w:rsidP="00CF1A32">
      <w:pPr>
        <w:spacing w:after="120" w:line="360" w:lineRule="auto"/>
        <w:ind w:left="567" w:right="844"/>
        <w:rPr>
          <w:sz w:val="22"/>
        </w:rPr>
      </w:pPr>
      <w:r>
        <w:rPr>
          <w:rFonts w:ascii="Arial" w:hAnsi="Arial" w:cs="Arial"/>
          <w:bCs/>
          <w:noProof/>
        </w:rPr>
        <w:lastRenderedPageBreak/>
        <w:drawing>
          <wp:inline distT="0" distB="0" distL="0" distR="0" wp14:anchorId="255FD91C" wp14:editId="6BBF2E20">
            <wp:extent cx="4680000" cy="3513661"/>
            <wp:effectExtent l="0" t="0" r="6350" b="0"/>
            <wp:docPr id="137976990" name="Grafik 2" descr="Ein Bild, das Traktor, draußen, Gras, Landwirtschaftstechnik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76990" name="Grafik 2" descr="Ein Bild, das Traktor, draußen, Gras, Landwirtschaftstechnik enthält.&#10;&#10;KI-generierte Inhalte können fehlerhaft sei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80000" cy="3513661"/>
                    </a:xfrm>
                    <a:prstGeom prst="rect">
                      <a:avLst/>
                    </a:prstGeom>
                    <a:noFill/>
                    <a:ln>
                      <a:noFill/>
                    </a:ln>
                  </pic:spPr>
                </pic:pic>
              </a:graphicData>
            </a:graphic>
          </wp:inline>
        </w:drawing>
      </w:r>
      <w:r w:rsidR="00CF1A32">
        <w:rPr>
          <w:rFonts w:ascii="Arial" w:hAnsi="Arial"/>
        </w:rPr>
        <w:br/>
      </w:r>
      <w:r w:rsidR="00CF1A32">
        <w:rPr>
          <w:rFonts w:ascii="Arial" w:hAnsi="Arial"/>
          <w:sz w:val="22"/>
        </w:rPr>
        <w:t>The high release force of up to 800 kg ensures a consistent working depth.</w:t>
      </w:r>
      <w:r w:rsidR="00CF1A32">
        <w:rPr>
          <w:sz w:val="22"/>
        </w:rPr>
        <w:t xml:space="preserve"> </w:t>
      </w:r>
    </w:p>
    <w:p w14:paraId="3DA4C271" w14:textId="77777777" w:rsidR="00AC2D2D" w:rsidRDefault="00AC2D2D" w:rsidP="00CF1A32">
      <w:pPr>
        <w:spacing w:after="120" w:line="360" w:lineRule="auto"/>
        <w:ind w:left="567" w:right="844"/>
        <w:rPr>
          <w:sz w:val="22"/>
        </w:rPr>
      </w:pPr>
    </w:p>
    <w:p w14:paraId="0A7EB9B5" w14:textId="0678F984" w:rsidR="00AC2D2D" w:rsidRPr="00C97651" w:rsidRDefault="00AC2D2D" w:rsidP="00CF1A32">
      <w:pPr>
        <w:spacing w:after="120" w:line="360" w:lineRule="auto"/>
        <w:ind w:left="567" w:right="844"/>
        <w:rPr>
          <w:sz w:val="22"/>
          <w:szCs w:val="22"/>
        </w:rPr>
      </w:pPr>
      <w:r>
        <w:rPr>
          <w:rFonts w:ascii="Arial" w:hAnsi="Arial" w:cs="Arial"/>
          <w:b/>
          <w:bCs/>
          <w:noProof/>
          <w:color w:val="808080" w:themeColor="background1" w:themeShade="80"/>
          <w:sz w:val="20"/>
          <w:szCs w:val="20"/>
        </w:rPr>
        <w:drawing>
          <wp:inline distT="0" distB="0" distL="0" distR="0" wp14:anchorId="6A08EAA8" wp14:editId="0E635E3C">
            <wp:extent cx="4680000" cy="3513660"/>
            <wp:effectExtent l="0" t="0" r="6350" b="0"/>
            <wp:docPr id="2045239636" name="Grafik 1" descr="Ein Bild, das draußen, Gras, Landwirtschaftstechnik, Rad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5239636" name="Grafik 1" descr="Ein Bild, das draußen, Gras, Landwirtschaftstechnik, Rad enthält.&#10;&#10;KI-generierte Inhalte können fehlerhaft sei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80000" cy="3513660"/>
                    </a:xfrm>
                    <a:prstGeom prst="rect">
                      <a:avLst/>
                    </a:prstGeom>
                    <a:noFill/>
                    <a:ln>
                      <a:noFill/>
                    </a:ln>
                  </pic:spPr>
                </pic:pic>
              </a:graphicData>
            </a:graphic>
          </wp:inline>
        </w:drawing>
      </w:r>
    </w:p>
    <w:p w14:paraId="7ECA1F5D" w14:textId="74DA752B" w:rsidR="004A4E71" w:rsidRDefault="00E90499" w:rsidP="00AC2D2D">
      <w:pPr>
        <w:spacing w:after="120" w:line="360" w:lineRule="auto"/>
        <w:ind w:left="567" w:right="1695"/>
        <w:rPr>
          <w:rFonts w:ascii="Arial" w:hAnsi="Arial" w:cs="Arial"/>
          <w:bCs/>
        </w:rPr>
      </w:pPr>
      <w:r>
        <w:rPr>
          <w:rFonts w:ascii="Arial" w:hAnsi="Arial"/>
          <w:sz w:val="22"/>
        </w:rPr>
        <w:t>Thanks to the infinitely variable adjustment of the release force, the Cenius Ultra is suitable for both light and heavy ground and where there are stony conditions.</w:t>
      </w:r>
      <w:r w:rsidR="004A4E71">
        <w:br w:type="page"/>
      </w:r>
    </w:p>
    <w:p w14:paraId="2B221C83"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Illustrations, content and technical data are not binding and may differ depending on the level of equipment. Country-specific road traffic regulations apply and must be complied with, meaning that special approval may be required. The permissible axle loads and total weights of the tractor should be checked. Not all the listed combination options are possible with all tractor manufacturers.</w:t>
      </w:r>
    </w:p>
    <w:p w14:paraId="56AC8C74" w14:textId="77777777" w:rsidR="00A42ED2" w:rsidRDefault="00A42ED2" w:rsidP="00A42ED2">
      <w:pPr>
        <w:spacing w:after="120" w:line="360" w:lineRule="auto"/>
        <w:ind w:left="567" w:right="1695"/>
        <w:rPr>
          <w:rFonts w:ascii="Arial" w:hAnsi="Arial" w:cs="Arial"/>
          <w:bCs/>
        </w:rPr>
      </w:pPr>
    </w:p>
    <w:p w14:paraId="34952731"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About AMAZONE</w:t>
      </w:r>
    </w:p>
    <w:p w14:paraId="590D4F9A" w14:textId="0EF69CD6"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Hasbergen-Gaste in Germany and manufactures agricultural and groundcare machinery. The owner-managed company employs more than 2500 people at nine different production sites. The agricultural machinery portfolio includes soil tillage implements, seed drills, fertiliser spreaders, plant protection equipment and hoes. Based on these core competencies, AMAZONE is now the specialist for intelligent crop production in agriculture. Further information: </w:t>
      </w:r>
      <w:hyperlink r:id="rId11" w:history="1">
        <w:r>
          <w:rPr>
            <w:rStyle w:val="Hyperlink"/>
            <w:rFonts w:ascii="Arial" w:hAnsi="Arial"/>
            <w:sz w:val="20"/>
          </w:rPr>
          <w:t>https://amazone.net</w:t>
        </w:r>
      </w:hyperlink>
    </w:p>
    <w:p w14:paraId="6EB3A7C0"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D3764A9" wp14:editId="511DA799">
            <wp:extent cx="241300" cy="241300"/>
            <wp:effectExtent l="0" t="0" r="6350" b="6350"/>
            <wp:docPr id="13" name="Grafik 1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9B36A53" wp14:editId="7302F8DF">
            <wp:extent cx="241300" cy="241300"/>
            <wp:effectExtent l="0" t="0" r="6350" b="6350"/>
            <wp:docPr id="12" name="Grafik 1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41273A1" wp14:editId="62EAC1A0">
            <wp:extent cx="241300" cy="241300"/>
            <wp:effectExtent l="0" t="0" r="6350" b="6350"/>
            <wp:docPr id="11" name="Grafik 1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31304AB" wp14:editId="6BA70363">
            <wp:extent cx="241300" cy="241300"/>
            <wp:effectExtent l="0" t="0" r="6350" b="6350"/>
            <wp:docPr id="10" name="Grafik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139E30E" wp14:editId="24C84DC1">
            <wp:extent cx="241300" cy="241300"/>
            <wp:effectExtent l="0" t="0" r="6350" b="6350"/>
            <wp:docPr id="7" name="Grafik 7">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023031">
      <w:headerReference w:type="default" r:id="rId27"/>
      <w:footerReference w:type="default" r:id="rId28"/>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BEE09" w14:textId="77777777" w:rsidR="001302CF" w:rsidRDefault="001302CF">
      <w:r>
        <w:separator/>
      </w:r>
    </w:p>
  </w:endnote>
  <w:endnote w:type="continuationSeparator" w:id="0">
    <w:p w14:paraId="73E1922B" w14:textId="77777777" w:rsidR="001302CF" w:rsidRDefault="00130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963B9"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06C49426" wp14:editId="3E7423E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F237B2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C49426"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2F237B28" w14:textId="77777777" w:rsidR="005E0980" w:rsidRPr="0093254A" w:rsidRDefault="005E0980" w:rsidP="006F7755">
                    <w:pPr>
                      <w:ind w:right="57"/>
                      <w:jc w:val="right"/>
                      <w:rPr>
                        <w:sz w:val="20"/>
                        <w:rFonts w:ascii="Arial" w:hAnsi="Arial"/>
                      </w:rPr>
                    </w:pPr>
                    <w:r>
                      <w:rPr>
                        <w:sz w:val="20"/>
                        <w:rFonts w:ascii="Arial" w:hAnsi="Arial"/>
                      </w:rPr>
                      <w:t xml:space="preserve">Page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 of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08918A25" wp14:editId="526D5647">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363495"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793BB68" wp14:editId="098967EA">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85F1C53"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77643B65" wp14:editId="5B478528">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24D0B9F" w14:textId="77777777" w:rsidR="005E0980" w:rsidRPr="00AD7839" w:rsidRDefault="005E0980" w:rsidP="006F7755">
                          <w:pPr>
                            <w:spacing w:line="280" w:lineRule="exact"/>
                            <w:rPr>
                              <w:rFonts w:ascii="Arial" w:hAnsi="Arial"/>
                              <w:spacing w:val="2"/>
                              <w:sz w:val="20"/>
                              <w:lang w:val="de-DE"/>
                            </w:rPr>
                          </w:pPr>
                          <w:r w:rsidRPr="00AD7839">
                            <w:rPr>
                              <w:rFonts w:ascii="Arial" w:hAnsi="Arial"/>
                              <w:sz w:val="20"/>
                              <w:lang w:val="de-DE"/>
                            </w:rPr>
                            <w:t>AMAZONEN-WERKE H. DREYER SE &amp; Co. KG ∙ Am Amazonenwerk 9–13 ∙ D-49205 Hasbergen-Gaste, Germany</w:t>
                          </w:r>
                        </w:p>
                        <w:p w14:paraId="50C3A81B" w14:textId="77777777"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643B65" id="_x0000_t202" coordsize="21600,21600" o:spt="202" path="m,l,21600r21600,l21600,xe">
              <v:stroke joinstyle="miter"/>
              <v:path gradientshapeok="t" o:connecttype="rect"/>
            </v:shapetype>
            <v:shape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324D0B9F" w14:textId="77777777" w:rsidR="005E0980" w:rsidRPr="00AD7839" w:rsidRDefault="005E0980" w:rsidP="006F7755">
                    <w:pPr>
                      <w:spacing w:line="280" w:lineRule="exact"/>
                      <w:rPr>
                        <w:rFonts w:ascii="Arial" w:hAnsi="Arial"/>
                        <w:spacing w:val="2"/>
                        <w:sz w:val="20"/>
                        <w:lang w:val="de-DE"/>
                      </w:rPr>
                    </w:pPr>
                    <w:r w:rsidRPr="00AD7839">
                      <w:rPr>
                        <w:rFonts w:ascii="Arial" w:hAnsi="Arial"/>
                        <w:sz w:val="20"/>
                        <w:lang w:val="de-DE"/>
                      </w:rPr>
                      <w:t>AMAZONEN-WERKE H. DREYER SE &amp; Co. KG ∙ Am Amazonenwerk 9–13 ∙ D-49205 Hasbergen-Gaste, Germany</w:t>
                    </w:r>
                  </w:p>
                  <w:p w14:paraId="50C3A81B" w14:textId="77777777"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44D4B" w14:textId="77777777" w:rsidR="001302CF" w:rsidRDefault="001302CF">
      <w:r>
        <w:separator/>
      </w:r>
    </w:p>
  </w:footnote>
  <w:footnote w:type="continuationSeparator" w:id="0">
    <w:p w14:paraId="66110E17" w14:textId="77777777" w:rsidR="001302CF" w:rsidRDefault="00130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FCD84"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2349C680" wp14:editId="6050CEC6">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F271C98" w14:textId="76FA63AB" w:rsidR="00E90499" w:rsidRPr="00E90499" w:rsidRDefault="004A4E71" w:rsidP="00E90499">
                          <w:pPr>
                            <w:pStyle w:val="StandardWeb"/>
                            <w:spacing w:after="0" w:afterAutospacing="0"/>
                            <w:jc w:val="right"/>
                            <w:rPr>
                              <w:rFonts w:ascii="Arial" w:hAnsi="Arial" w:cs="Arial"/>
                              <w:color w:val="FFFFFF" w:themeColor="background1"/>
                              <w:kern w:val="24"/>
                              <w:sz w:val="28"/>
                              <w:szCs w:val="28"/>
                            </w:rPr>
                          </w:pPr>
                          <w:r>
                            <w:rPr>
                              <w:rFonts w:ascii="Arial" w:hAnsi="Arial"/>
                              <w:color w:val="FFFFFF" w:themeColor="background1"/>
                              <w:sz w:val="28"/>
                            </w:rPr>
                            <w:t xml:space="preserve">Press information </w:t>
                          </w:r>
                          <w:r w:rsidR="00AD7839">
                            <w:rPr>
                              <w:rFonts w:ascii="Arial" w:hAnsi="Arial"/>
                              <w:color w:val="FFFFFF" w:themeColor="background1"/>
                              <w:sz w:val="28"/>
                            </w:rPr>
                            <w:t>Febru</w:t>
                          </w:r>
                          <w:r>
                            <w:rPr>
                              <w:rFonts w:ascii="Arial" w:hAnsi="Arial"/>
                              <w:color w:val="FFFFFF" w:themeColor="background1"/>
                              <w:sz w:val="28"/>
                            </w:rPr>
                            <w:t>ary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49C680"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5F271C98" w14:textId="76FA63AB" w:rsidR="00E90499" w:rsidRPr="00E90499" w:rsidRDefault="004A4E71" w:rsidP="00E90499">
                    <w:pPr>
                      <w:pStyle w:val="StandardWeb"/>
                      <w:spacing w:after="0" w:afterAutospacing="0"/>
                      <w:jc w:val="right"/>
                      <w:rPr>
                        <w:rFonts w:ascii="Arial" w:hAnsi="Arial" w:cs="Arial"/>
                        <w:color w:val="FFFFFF" w:themeColor="background1"/>
                        <w:kern w:val="24"/>
                        <w:sz w:val="28"/>
                        <w:szCs w:val="28"/>
                      </w:rPr>
                    </w:pPr>
                    <w:r>
                      <w:rPr>
                        <w:rFonts w:ascii="Arial" w:hAnsi="Arial"/>
                        <w:color w:val="FFFFFF" w:themeColor="background1"/>
                        <w:sz w:val="28"/>
                      </w:rPr>
                      <w:t xml:space="preserve">Press information </w:t>
                    </w:r>
                    <w:r w:rsidR="00AD7839">
                      <w:rPr>
                        <w:rFonts w:ascii="Arial" w:hAnsi="Arial"/>
                        <w:color w:val="FFFFFF" w:themeColor="background1"/>
                        <w:sz w:val="28"/>
                      </w:rPr>
                      <w:t>Febru</w:t>
                    </w:r>
                    <w:r>
                      <w:rPr>
                        <w:rFonts w:ascii="Arial" w:hAnsi="Arial"/>
                        <w:color w:val="FFFFFF" w:themeColor="background1"/>
                        <w:sz w:val="28"/>
                      </w:rPr>
                      <w:t>ary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17197D90" wp14:editId="47F2CBEA">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13D9F8B"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4885983D" wp14:editId="482E39E5">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232C6045"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306FE8F3" wp14:editId="50487530">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1E6247E"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6FE8F3"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41E6247E"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Press 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499"/>
    <w:rsid w:val="000008BF"/>
    <w:rsid w:val="0000280B"/>
    <w:rsid w:val="00003E4F"/>
    <w:rsid w:val="000047C6"/>
    <w:rsid w:val="00004816"/>
    <w:rsid w:val="000055DA"/>
    <w:rsid w:val="0000569A"/>
    <w:rsid w:val="00005750"/>
    <w:rsid w:val="000057B1"/>
    <w:rsid w:val="00005A76"/>
    <w:rsid w:val="00006782"/>
    <w:rsid w:val="00013C90"/>
    <w:rsid w:val="000148C6"/>
    <w:rsid w:val="00020A73"/>
    <w:rsid w:val="00022927"/>
    <w:rsid w:val="00022EA9"/>
    <w:rsid w:val="00023031"/>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17DB"/>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67545"/>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0105"/>
    <w:rsid w:val="000E0DD7"/>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3E48"/>
    <w:rsid w:val="00125E67"/>
    <w:rsid w:val="0012682A"/>
    <w:rsid w:val="00126BDB"/>
    <w:rsid w:val="00126F6D"/>
    <w:rsid w:val="0012731C"/>
    <w:rsid w:val="00127C44"/>
    <w:rsid w:val="001302CF"/>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2EFB"/>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10C6"/>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A6E"/>
    <w:rsid w:val="00280DCF"/>
    <w:rsid w:val="00281B1F"/>
    <w:rsid w:val="002828C5"/>
    <w:rsid w:val="002829C0"/>
    <w:rsid w:val="0028387B"/>
    <w:rsid w:val="00285740"/>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0DE2"/>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E7D5E"/>
    <w:rsid w:val="002F0698"/>
    <w:rsid w:val="002F06C3"/>
    <w:rsid w:val="002F0C60"/>
    <w:rsid w:val="002F3F80"/>
    <w:rsid w:val="002F53E9"/>
    <w:rsid w:val="002F54BD"/>
    <w:rsid w:val="002F58F1"/>
    <w:rsid w:val="002F5AF3"/>
    <w:rsid w:val="002F5B4F"/>
    <w:rsid w:val="002F6BC8"/>
    <w:rsid w:val="0030035B"/>
    <w:rsid w:val="00300C6C"/>
    <w:rsid w:val="00302020"/>
    <w:rsid w:val="00302EC3"/>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2311"/>
    <w:rsid w:val="003375ED"/>
    <w:rsid w:val="003400A3"/>
    <w:rsid w:val="0034016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08D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13A"/>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3F00"/>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2E2E"/>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6E5D"/>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332"/>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47950"/>
    <w:rsid w:val="006504D5"/>
    <w:rsid w:val="0065335F"/>
    <w:rsid w:val="00653C7C"/>
    <w:rsid w:val="006540FC"/>
    <w:rsid w:val="006553F8"/>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2880"/>
    <w:rsid w:val="006C341C"/>
    <w:rsid w:val="006D24A3"/>
    <w:rsid w:val="006D2A85"/>
    <w:rsid w:val="006D2F24"/>
    <w:rsid w:val="006D4215"/>
    <w:rsid w:val="006D5DE3"/>
    <w:rsid w:val="006D6692"/>
    <w:rsid w:val="006E21AA"/>
    <w:rsid w:val="006E33BB"/>
    <w:rsid w:val="006E3615"/>
    <w:rsid w:val="006E596F"/>
    <w:rsid w:val="006E6C7E"/>
    <w:rsid w:val="006E6D4F"/>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A1E73"/>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3AC8"/>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49B5"/>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495"/>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08BC"/>
    <w:rsid w:val="008E16F1"/>
    <w:rsid w:val="008E2078"/>
    <w:rsid w:val="008E26EA"/>
    <w:rsid w:val="008E416F"/>
    <w:rsid w:val="008E4FBE"/>
    <w:rsid w:val="008E4FE2"/>
    <w:rsid w:val="008E605B"/>
    <w:rsid w:val="008E7382"/>
    <w:rsid w:val="008F018E"/>
    <w:rsid w:val="008F17E1"/>
    <w:rsid w:val="008F2038"/>
    <w:rsid w:val="008F3BCA"/>
    <w:rsid w:val="008F5D70"/>
    <w:rsid w:val="008F7B54"/>
    <w:rsid w:val="00902335"/>
    <w:rsid w:val="00903BD1"/>
    <w:rsid w:val="00905607"/>
    <w:rsid w:val="009056AA"/>
    <w:rsid w:val="00910A7E"/>
    <w:rsid w:val="00911D0D"/>
    <w:rsid w:val="00913866"/>
    <w:rsid w:val="0091391B"/>
    <w:rsid w:val="00913ABA"/>
    <w:rsid w:val="00914BEC"/>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0C9"/>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005"/>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97579"/>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D2D"/>
    <w:rsid w:val="00AC2FEB"/>
    <w:rsid w:val="00AC4035"/>
    <w:rsid w:val="00AC4C25"/>
    <w:rsid w:val="00AC4FDA"/>
    <w:rsid w:val="00AC5950"/>
    <w:rsid w:val="00AC6EE2"/>
    <w:rsid w:val="00AC702A"/>
    <w:rsid w:val="00AD0821"/>
    <w:rsid w:val="00AD0A4E"/>
    <w:rsid w:val="00AD1745"/>
    <w:rsid w:val="00AD2461"/>
    <w:rsid w:val="00AD3A37"/>
    <w:rsid w:val="00AD3C5B"/>
    <w:rsid w:val="00AD4CFD"/>
    <w:rsid w:val="00AD7839"/>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5FF9"/>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026E"/>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2DEF"/>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7C"/>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485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97651"/>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1A32"/>
    <w:rsid w:val="00CF3AD0"/>
    <w:rsid w:val="00CF3FBF"/>
    <w:rsid w:val="00CF4B64"/>
    <w:rsid w:val="00D004BF"/>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0F84"/>
    <w:rsid w:val="00D71C9B"/>
    <w:rsid w:val="00D72F44"/>
    <w:rsid w:val="00D744EF"/>
    <w:rsid w:val="00D8077E"/>
    <w:rsid w:val="00D81F2C"/>
    <w:rsid w:val="00D829C8"/>
    <w:rsid w:val="00D83715"/>
    <w:rsid w:val="00D83923"/>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7E"/>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172FF"/>
    <w:rsid w:val="00E210CD"/>
    <w:rsid w:val="00E2251E"/>
    <w:rsid w:val="00E236C2"/>
    <w:rsid w:val="00E247DB"/>
    <w:rsid w:val="00E25D8E"/>
    <w:rsid w:val="00E260F9"/>
    <w:rsid w:val="00E27DFB"/>
    <w:rsid w:val="00E30156"/>
    <w:rsid w:val="00E3043E"/>
    <w:rsid w:val="00E32A90"/>
    <w:rsid w:val="00E32E07"/>
    <w:rsid w:val="00E33527"/>
    <w:rsid w:val="00E33D18"/>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049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26D6D"/>
    <w:rsid w:val="00F30A13"/>
    <w:rsid w:val="00F3206D"/>
    <w:rsid w:val="00F3365D"/>
    <w:rsid w:val="00F34074"/>
    <w:rsid w:val="00F35B89"/>
    <w:rsid w:val="00F35C7C"/>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4CD1"/>
    <w:rsid w:val="00F7525F"/>
    <w:rsid w:val="00F8079B"/>
    <w:rsid w:val="00F80F29"/>
    <w:rsid w:val="00F8399A"/>
    <w:rsid w:val="00F91A77"/>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5EA8"/>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0D169429"/>
  <w15:docId w15:val="{734DED26-7BCC-4E73-994B-F0C8DF50D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group/" TargetMode="External"/><Relationship Id="rId7" Type="http://schemas.openxmlformats.org/officeDocument/2006/relationships/endnotes" Target="endnote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e.net"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2.png"/><Relationship Id="rId1"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4</Pages>
  <Words>570</Words>
  <Characters>3172</Characters>
  <Application>Microsoft Office Word</Application>
  <DocSecurity>0</DocSecurity>
  <Lines>26</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Press information template</vt:lpstr>
      <vt:lpstr>PI Amazone Jahresbericht 2008</vt:lpstr>
    </vt:vector>
  </TitlesOfParts>
  <Manager/>
  <Company/>
  <LinksUpToDate>false</LinksUpToDate>
  <CharactersWithSpaces>3735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information template</dc:title>
  <dc:subject/>
  <dc:creator>Berelsmann Nadine</dc:creator>
  <cp:keywords/>
  <dc:description/>
  <cp:lastModifiedBy>Berelsmann Nadine</cp:lastModifiedBy>
  <cp:revision>24</cp:revision>
  <cp:lastPrinted>2010-02-24T09:10:00Z</cp:lastPrinted>
  <dcterms:created xsi:type="dcterms:W3CDTF">2024-12-18T11:13:00Z</dcterms:created>
  <dcterms:modified xsi:type="dcterms:W3CDTF">2025-02-14T10:13:00Z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